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DD57B" w14:textId="3C6B4D85" w:rsidR="000A1E35" w:rsidRPr="00A570E3" w:rsidRDefault="000A1E35" w:rsidP="00D776DB">
      <w:pPr>
        <w:pStyle w:val="3GPPHeader"/>
        <w:spacing w:after="0"/>
        <w:rPr>
          <w:bCs/>
          <w:noProof/>
          <w:szCs w:val="24"/>
          <w:lang w:eastAsia="ja-JP"/>
        </w:rPr>
      </w:pPr>
      <w:bookmarkStart w:id="0" w:name="_Hlk513098861"/>
      <w:bookmarkStart w:id="1" w:name="_Toc510018434"/>
      <w:r w:rsidRPr="00A570E3">
        <w:rPr>
          <w:bCs/>
          <w:noProof/>
          <w:szCs w:val="24"/>
          <w:lang w:eastAsia="ja-JP"/>
        </w:rPr>
        <w:t>3GPP TSG-RAN WG2 #104</w:t>
      </w:r>
      <w:r w:rsidRPr="00A570E3">
        <w:rPr>
          <w:bCs/>
          <w:noProof/>
          <w:szCs w:val="24"/>
          <w:lang w:eastAsia="ja-JP"/>
        </w:rPr>
        <w:tab/>
        <w:t>Tdoc R2-18</w:t>
      </w:r>
      <w:r>
        <w:rPr>
          <w:bCs/>
          <w:noProof/>
          <w:szCs w:val="24"/>
          <w:lang w:eastAsia="ja-JP"/>
        </w:rPr>
        <w:t>1</w:t>
      </w:r>
      <w:r w:rsidR="0046553B">
        <w:rPr>
          <w:bCs/>
          <w:noProof/>
          <w:szCs w:val="24"/>
          <w:lang w:eastAsia="ja-JP"/>
        </w:rPr>
        <w:t>7529</w:t>
      </w:r>
    </w:p>
    <w:p w14:paraId="0F5397C5" w14:textId="77777777" w:rsidR="000A1E35" w:rsidRDefault="000A1E35" w:rsidP="000A1E35">
      <w:pPr>
        <w:pStyle w:val="3GPPHeader"/>
        <w:spacing w:after="120"/>
        <w:rPr>
          <w:bCs/>
          <w:noProof/>
          <w:szCs w:val="24"/>
          <w:lang w:eastAsia="ja-JP"/>
        </w:rPr>
      </w:pPr>
      <w:r w:rsidRPr="00A570E3">
        <w:rPr>
          <w:bCs/>
          <w:noProof/>
          <w:szCs w:val="24"/>
          <w:lang w:eastAsia="ja-JP"/>
        </w:rPr>
        <w:t>Spokane, Washington, USA, 12th –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6EF557C4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36D2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41E61434" w:rsidR="00152F54" w:rsidRDefault="00756431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5842CA9" w:rsidR="00152F54" w:rsidRDefault="009C60B9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CB487A1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4C3FAD7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02728A4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L2 capability parameters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5394D08B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10CC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10CC0">
              <w:rPr>
                <w:noProof/>
              </w:rPr>
              <w:t>01</w:t>
            </w:r>
            <w:bookmarkStart w:id="2" w:name="_GoBack"/>
            <w:bookmarkEnd w:id="2"/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C769C01" w:rsidR="00152F54" w:rsidRDefault="00E35E33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7DCC9672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07617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CB747" w14:textId="0DD3911A" w:rsidR="00357722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plenary #81 agreed </w:t>
            </w:r>
            <w:r w:rsidR="00E63F8B">
              <w:rPr>
                <w:noProof/>
              </w:rPr>
              <w:t xml:space="preserve">in </w:t>
            </w:r>
            <w:hyperlink r:id="rId16" w:history="1">
              <w:r w:rsidR="00E63F8B">
                <w:rPr>
                  <w:rStyle w:val="Hyperlink"/>
                </w:rPr>
                <w:t>RP-182121</w:t>
              </w:r>
            </w:hyperlink>
            <w:r w:rsidR="00E63F8B">
              <w:rPr>
                <w:lang w:val="en-US"/>
              </w:rPr>
              <w:t> </w:t>
            </w:r>
            <w:r>
              <w:rPr>
                <w:noProof/>
              </w:rPr>
              <w:t xml:space="preserve">the addition of two new </w:t>
            </w:r>
            <w:r w:rsidR="00E63F8B">
              <w:rPr>
                <w:noProof/>
              </w:rPr>
              <w:t xml:space="preserve">L2 </w:t>
            </w:r>
            <w:r>
              <w:rPr>
                <w:noProof/>
              </w:rPr>
              <w:t>capability parameters</w:t>
            </w:r>
            <w:r w:rsidR="00E63F8B">
              <w:rPr>
                <w:noProof/>
              </w:rPr>
              <w:t>:</w:t>
            </w:r>
          </w:p>
          <w:p w14:paraId="31550B7F" w14:textId="0A34C01B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>
              <w:rPr>
                <w:rFonts w:eastAsia="MS PGothic" w:cstheme="minorHAnsi"/>
              </w:rPr>
              <w:t xml:space="preserve">Periodic </w:t>
            </w:r>
            <w:r w:rsidRPr="00890349">
              <w:rPr>
                <w:rFonts w:eastAsia="MS PGothic" w:cstheme="minorHAnsi"/>
              </w:rPr>
              <w:t>LTE measurement and reporting while NR connected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Mandatory with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if the UE supports LTE.</w:t>
            </w:r>
          </w:p>
          <w:p w14:paraId="24BA7EE9" w14:textId="54002E89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rFonts w:eastAsia="MS PGothic" w:cstheme="minorHAnsi"/>
              </w:rPr>
            </w:pPr>
            <w:r w:rsidRPr="00890349">
              <w:rPr>
                <w:rFonts w:eastAsia="MS PGothic" w:cstheme="minorHAnsi"/>
              </w:rPr>
              <w:t>AS reflective QoS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Separate RRC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for AS reflective QoS (i.e. decoupled from NAS reflective QoS)</w:t>
            </w:r>
            <w:r>
              <w:rPr>
                <w:rFonts w:eastAsia="MS PGothic" w:cstheme="minorHAnsi"/>
              </w:rPr>
              <w:t xml:space="preserve"> </w:t>
            </w:r>
            <w:r w:rsidR="00E63F8B">
              <w:rPr>
                <w:rFonts w:eastAsia="MS PGothic" w:cstheme="minorHAnsi"/>
              </w:rPr>
              <w:t xml:space="preserve">- </w:t>
            </w:r>
            <w:r w:rsidRPr="00E35E33">
              <w:rPr>
                <w:rFonts w:eastAsia="MS PGothic" w:cstheme="minorHAnsi"/>
              </w:rPr>
              <w:t>Optional</w:t>
            </w:r>
          </w:p>
          <w:p w14:paraId="0039D9A2" w14:textId="5CA18B81" w:rsidR="00357722" w:rsidRDefault="00357722" w:rsidP="00E35E3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6C9EB" w14:textId="44FD1C81" w:rsidR="00152F54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capability bits are added:</w:t>
            </w:r>
          </w:p>
          <w:p w14:paraId="45FC5732" w14:textId="6F3D3902" w:rsidR="00E35E33" w:rsidRDefault="00E35E33" w:rsidP="00E63F8B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 w:rsidRPr="00E35E33">
              <w:rPr>
                <w:noProof/>
              </w:rPr>
              <w:t>periodic</w:t>
            </w:r>
            <w:r w:rsidR="00F02DFB">
              <w:rPr>
                <w:noProof/>
              </w:rPr>
              <w:t>EUTRA</w:t>
            </w:r>
            <w:r w:rsidRPr="00E35E33">
              <w:rPr>
                <w:noProof/>
              </w:rPr>
              <w:t xml:space="preserve">-MeasAndReport </w:t>
            </w:r>
            <w:r w:rsidR="00E63F8B">
              <w:rPr>
                <w:noProof/>
              </w:rPr>
              <w:t xml:space="preserve">in </w:t>
            </w:r>
            <w:r w:rsidR="00E63F8B" w:rsidRPr="00E63F8B">
              <w:rPr>
                <w:noProof/>
              </w:rPr>
              <w:t>MeasAndMobParametersCommon</w:t>
            </w:r>
          </w:p>
          <w:p w14:paraId="1885A574" w14:textId="5963D914" w:rsidR="00E35E33" w:rsidRDefault="00E35E33" w:rsidP="00E35E33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>
              <w:rPr>
                <w:noProof/>
              </w:rPr>
              <w:t>as-ReflectiveQoS</w:t>
            </w:r>
            <w:r w:rsidR="00E63F8B">
              <w:rPr>
                <w:noProof/>
              </w:rPr>
              <w:t xml:space="preserve"> in</w:t>
            </w:r>
            <w:r w:rsidR="00A3655F">
              <w:rPr>
                <w:noProof/>
              </w:rPr>
              <w:t xml:space="preserve"> UE-NR-Capabilties</w:t>
            </w:r>
            <w:r w:rsidR="00E63F8B">
              <w:rPr>
                <w:noProof/>
              </w:rPr>
              <w:t xml:space="preserve"> </w:t>
            </w:r>
            <w:r w:rsidRPr="00E35E33">
              <w:rPr>
                <w:noProof/>
              </w:rPr>
              <w:t xml:space="preserve">     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F71E9" w14:textId="1D862924" w:rsidR="00E63F8B" w:rsidRDefault="00E63F8B" w:rsidP="00DC1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not able to report all L2 capabilities</w:t>
            </w:r>
          </w:p>
          <w:p w14:paraId="3EE4FE9A" w14:textId="77777777" w:rsidR="00DC13DC" w:rsidRPr="00DC13DC" w:rsidRDefault="00DC13DC" w:rsidP="00DC13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2F1FA7" w14:textId="027EC6DB" w:rsidR="00E63F8B" w:rsidRPr="003F2329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b/>
                <w:noProof/>
              </w:rPr>
              <w:t>Impact analysis</w:t>
            </w:r>
          </w:p>
          <w:p w14:paraId="79DE1CC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Impacted functionality:</w:t>
            </w:r>
          </w:p>
          <w:p w14:paraId="59024F8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48B22DC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Inter-operability:</w:t>
            </w:r>
          </w:p>
          <w:p w14:paraId="76934AE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 w:rsidRPr="003F2329">
              <w:rPr>
                <w:noProof/>
              </w:rPr>
              <w:t>1.</w:t>
            </w:r>
            <w:r w:rsidRPr="003F2329">
              <w:rPr>
                <w:noProof/>
              </w:rPr>
              <w:tab/>
              <w:t xml:space="preserve">If the UE is implemented according to this CR but the network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 xml:space="preserve">backward compatibility issue; </w:t>
            </w:r>
          </w:p>
          <w:p w14:paraId="1520A74B" w14:textId="03E1D3E3" w:rsidR="00E63F8B" w:rsidRPr="00E63F8B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noProof/>
              </w:rPr>
              <w:t>2.</w:t>
            </w:r>
            <w:r w:rsidRPr="003F2329">
              <w:rPr>
                <w:noProof/>
              </w:rPr>
              <w:tab/>
              <w:t xml:space="preserve">If the network is implemented according to this CR but the </w:t>
            </w:r>
            <w:r>
              <w:rPr>
                <w:noProof/>
              </w:rPr>
              <w:t>UE</w:t>
            </w:r>
            <w:r w:rsidRPr="003F2329">
              <w:rPr>
                <w:noProof/>
              </w:rPr>
              <w:t xml:space="preserve">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>backward compatibility issue;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69211CC3" w:rsidR="00152F54" w:rsidRDefault="00F02DF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4.2.2, 4.2.9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D7ACB4C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AD5D722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38AB19DB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DDBB9D" w14:textId="6696E322" w:rsidR="00E35E33" w:rsidRDefault="00E35E33" w:rsidP="00152F54">
      <w:pPr>
        <w:rPr>
          <w:noProof/>
        </w:rPr>
      </w:pPr>
    </w:p>
    <w:p w14:paraId="20F92017" w14:textId="45725411" w:rsidR="00436D27" w:rsidRPr="004E1C92" w:rsidRDefault="00436D27" w:rsidP="00436D27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050D292" w14:textId="77777777" w:rsidR="00436D27" w:rsidRPr="00044E41" w:rsidRDefault="00436D27" w:rsidP="00436D27">
      <w:pPr>
        <w:pStyle w:val="Heading3"/>
      </w:pPr>
      <w:bookmarkStart w:id="3" w:name="_Toc517229487"/>
      <w:r w:rsidRPr="00044E41">
        <w:t>4.2.2</w:t>
      </w:r>
      <w:r w:rsidRPr="00044E41">
        <w:tab/>
        <w:t>General parameters</w:t>
      </w:r>
      <w:bookmarkEnd w:id="3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436D27" w:rsidRPr="00044E41" w14:paraId="6919F55D" w14:textId="77777777" w:rsidTr="00B420A1">
        <w:trPr>
          <w:cantSplit/>
          <w:tblHeader/>
        </w:trPr>
        <w:tc>
          <w:tcPr>
            <w:tcW w:w="7290" w:type="dxa"/>
          </w:tcPr>
          <w:p w14:paraId="07AAF812" w14:textId="77777777" w:rsidR="00436D27" w:rsidRPr="00044E41" w:rsidRDefault="00436D27" w:rsidP="00B420A1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44FB7386" w14:textId="77777777" w:rsidR="00436D27" w:rsidRPr="00044E41" w:rsidRDefault="00436D27" w:rsidP="00B420A1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7D8BC33A" w14:textId="77777777" w:rsidR="00436D27" w:rsidRPr="00044E41" w:rsidRDefault="00436D27" w:rsidP="00B420A1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75CD8952" w14:textId="77777777" w:rsidR="00436D27" w:rsidRPr="00044E41" w:rsidRDefault="00436D27" w:rsidP="00B420A1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FDD-TDD diff</w:t>
            </w:r>
          </w:p>
        </w:tc>
      </w:tr>
      <w:tr w:rsidR="00436D27" w:rsidRPr="00346B7C" w14:paraId="1676D707" w14:textId="77777777" w:rsidTr="00B420A1">
        <w:trPr>
          <w:cantSplit/>
          <w:tblHeader/>
        </w:trPr>
        <w:tc>
          <w:tcPr>
            <w:tcW w:w="7290" w:type="dxa"/>
          </w:tcPr>
          <w:p w14:paraId="23E6E440" w14:textId="77777777" w:rsidR="00436D27" w:rsidRPr="00346B7C" w:rsidRDefault="00436D27" w:rsidP="00B420A1">
            <w:pPr>
              <w:pStyle w:val="TAL"/>
              <w:rPr>
                <w:b/>
                <w:i/>
              </w:rPr>
            </w:pPr>
            <w:proofErr w:type="spellStart"/>
            <w:r w:rsidRPr="00346B7C">
              <w:rPr>
                <w:b/>
                <w:i/>
              </w:rPr>
              <w:t>delayBudgetReporting</w:t>
            </w:r>
            <w:proofErr w:type="spellEnd"/>
          </w:p>
          <w:p w14:paraId="6BCF4191" w14:textId="77777777" w:rsidR="00436D27" w:rsidRPr="00055B04" w:rsidRDefault="00436D27" w:rsidP="00B420A1">
            <w:pPr>
              <w:pStyle w:val="TAL"/>
            </w:pPr>
            <w:r w:rsidRPr="00346B7C">
              <w:t>Indicates whether the UE supports delay budget reporting as specified in TS 38.331 [9].</w:t>
            </w:r>
          </w:p>
        </w:tc>
        <w:tc>
          <w:tcPr>
            <w:tcW w:w="720" w:type="dxa"/>
          </w:tcPr>
          <w:p w14:paraId="09133B1C" w14:textId="77777777" w:rsidR="00436D27" w:rsidRPr="00055B04" w:rsidRDefault="00436D27" w:rsidP="00B420A1">
            <w:pPr>
              <w:pStyle w:val="TAL"/>
              <w:jc w:val="center"/>
            </w:pPr>
            <w:r w:rsidRPr="00346B7C">
              <w:t>UE</w:t>
            </w:r>
          </w:p>
        </w:tc>
        <w:tc>
          <w:tcPr>
            <w:tcW w:w="630" w:type="dxa"/>
          </w:tcPr>
          <w:p w14:paraId="41CF5625" w14:textId="77777777" w:rsidR="00436D27" w:rsidRPr="00055B04" w:rsidRDefault="00436D27" w:rsidP="00B420A1">
            <w:pPr>
              <w:pStyle w:val="TAL"/>
              <w:jc w:val="center"/>
            </w:pPr>
            <w:r w:rsidRPr="00346B7C">
              <w:t>No</w:t>
            </w:r>
          </w:p>
        </w:tc>
        <w:tc>
          <w:tcPr>
            <w:tcW w:w="990" w:type="dxa"/>
          </w:tcPr>
          <w:p w14:paraId="4A28B364" w14:textId="77777777" w:rsidR="00436D27" w:rsidRPr="00055B04" w:rsidRDefault="00436D27" w:rsidP="00B420A1">
            <w:pPr>
              <w:pStyle w:val="TAL"/>
              <w:jc w:val="center"/>
            </w:pPr>
            <w:r w:rsidRPr="00346B7C">
              <w:t>No</w:t>
            </w:r>
          </w:p>
        </w:tc>
      </w:tr>
      <w:tr w:rsidR="00436D27" w:rsidRPr="00346B7C" w14:paraId="2FD304C8" w14:textId="77777777" w:rsidTr="00B420A1">
        <w:trPr>
          <w:cantSplit/>
        </w:trPr>
        <w:tc>
          <w:tcPr>
            <w:tcW w:w="7290" w:type="dxa"/>
          </w:tcPr>
          <w:p w14:paraId="6823D6E5" w14:textId="77777777" w:rsidR="00436D27" w:rsidRPr="00346B7C" w:rsidRDefault="00436D27" w:rsidP="00B420A1">
            <w:pPr>
              <w:pStyle w:val="TAL"/>
              <w:rPr>
                <w:b/>
                <w:i/>
              </w:rPr>
            </w:pPr>
            <w:proofErr w:type="spellStart"/>
            <w:r w:rsidRPr="00346B7C">
              <w:rPr>
                <w:b/>
                <w:i/>
              </w:rPr>
              <w:t>inactiveState</w:t>
            </w:r>
            <w:proofErr w:type="spellEnd"/>
          </w:p>
          <w:p w14:paraId="41F8079A" w14:textId="77777777" w:rsidR="00436D27" w:rsidRPr="00346B7C" w:rsidRDefault="00436D27" w:rsidP="00B420A1">
            <w:pPr>
              <w:pStyle w:val="TAL"/>
            </w:pPr>
            <w:r w:rsidRPr="00346B7C">
              <w:t xml:space="preserve">Indicates whether the UE supports </w:t>
            </w:r>
            <w:proofErr w:type="spellStart"/>
            <w:r w:rsidRPr="00346B7C">
              <w:t>RRC_inactive</w:t>
            </w:r>
            <w:proofErr w:type="spellEnd"/>
            <w:r w:rsidRPr="00346B7C">
              <w:t xml:space="preserve"> as specified in TS 38.331 [9].</w:t>
            </w:r>
            <w:r w:rsidRPr="00055B04">
              <w:t xml:space="preserve"> </w:t>
            </w:r>
          </w:p>
        </w:tc>
        <w:tc>
          <w:tcPr>
            <w:tcW w:w="720" w:type="dxa"/>
          </w:tcPr>
          <w:p w14:paraId="634874D0" w14:textId="77777777" w:rsidR="00436D27" w:rsidRPr="00346B7C" w:rsidRDefault="00436D27" w:rsidP="00B420A1">
            <w:pPr>
              <w:pStyle w:val="TAL"/>
              <w:jc w:val="center"/>
            </w:pPr>
            <w:r w:rsidRPr="00346B7C">
              <w:t>UE</w:t>
            </w:r>
          </w:p>
        </w:tc>
        <w:tc>
          <w:tcPr>
            <w:tcW w:w="630" w:type="dxa"/>
          </w:tcPr>
          <w:p w14:paraId="6DB62F8B" w14:textId="77777777" w:rsidR="00436D27" w:rsidRPr="00346B7C" w:rsidDel="00BD7553" w:rsidRDefault="00436D27" w:rsidP="00B420A1">
            <w:pPr>
              <w:pStyle w:val="TAL"/>
              <w:jc w:val="center"/>
            </w:pPr>
            <w:r w:rsidRPr="00346B7C">
              <w:t>Yes</w:t>
            </w:r>
          </w:p>
        </w:tc>
        <w:tc>
          <w:tcPr>
            <w:tcW w:w="990" w:type="dxa"/>
          </w:tcPr>
          <w:p w14:paraId="014ADB7D" w14:textId="77777777" w:rsidR="00436D27" w:rsidRPr="00346B7C" w:rsidRDefault="00436D27" w:rsidP="00B420A1">
            <w:pPr>
              <w:pStyle w:val="TAL"/>
              <w:jc w:val="center"/>
            </w:pPr>
            <w:r w:rsidRPr="00346B7C">
              <w:t>No</w:t>
            </w:r>
          </w:p>
        </w:tc>
      </w:tr>
      <w:tr w:rsidR="00436D27" w:rsidRPr="00346B7C" w14:paraId="07319CDF" w14:textId="77777777" w:rsidTr="00B420A1">
        <w:trPr>
          <w:cantSplit/>
        </w:trPr>
        <w:tc>
          <w:tcPr>
            <w:tcW w:w="7290" w:type="dxa"/>
          </w:tcPr>
          <w:p w14:paraId="4D6B333D" w14:textId="77777777" w:rsidR="00436D27" w:rsidRPr="00346B7C" w:rsidRDefault="00436D27" w:rsidP="00B420A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346B7C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346B7C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346B7C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346B7C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2499948C" w14:textId="77777777" w:rsidR="00436D27" w:rsidRPr="00346B7C" w:rsidRDefault="00436D27" w:rsidP="00B420A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Indicates whether the UE supports UL transmission via either MCG path or SCG path for the split SRB as specified in TS 37.340 [7].</w:t>
            </w:r>
          </w:p>
        </w:tc>
        <w:tc>
          <w:tcPr>
            <w:tcW w:w="720" w:type="dxa"/>
          </w:tcPr>
          <w:p w14:paraId="32E497E0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6A33E20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3F930B9F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Yes</w:t>
            </w:r>
          </w:p>
        </w:tc>
      </w:tr>
      <w:tr w:rsidR="00436D27" w:rsidRPr="00346B7C" w14:paraId="057336A2" w14:textId="77777777" w:rsidTr="00B420A1">
        <w:trPr>
          <w:cantSplit/>
        </w:trPr>
        <w:tc>
          <w:tcPr>
            <w:tcW w:w="7290" w:type="dxa"/>
          </w:tcPr>
          <w:p w14:paraId="155BBCC7" w14:textId="77777777" w:rsidR="00436D27" w:rsidRPr="00346B7C" w:rsidRDefault="00436D27" w:rsidP="00B420A1">
            <w:pPr>
              <w:pStyle w:val="TAL"/>
              <w:rPr>
                <w:b/>
                <w:i/>
                <w:noProof/>
                <w:lang w:eastAsia="ko-KR"/>
              </w:rPr>
            </w:pPr>
            <w:r w:rsidRPr="00346B7C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7B65E6BF" w14:textId="77777777" w:rsidR="00436D27" w:rsidRPr="00346B7C" w:rsidRDefault="00436D27" w:rsidP="00B420A1">
            <w:pPr>
              <w:pStyle w:val="TAL"/>
            </w:pPr>
            <w:r w:rsidRPr="00346B7C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</w:t>
            </w:r>
          </w:p>
        </w:tc>
        <w:tc>
          <w:tcPr>
            <w:tcW w:w="720" w:type="dxa"/>
          </w:tcPr>
          <w:p w14:paraId="0F522008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CA38315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07E8B4F8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Yes</w:t>
            </w:r>
          </w:p>
        </w:tc>
      </w:tr>
      <w:tr w:rsidR="00436D27" w:rsidRPr="00346B7C" w14:paraId="106258D4" w14:textId="77777777" w:rsidTr="00B420A1">
        <w:trPr>
          <w:cantSplit/>
        </w:trPr>
        <w:tc>
          <w:tcPr>
            <w:tcW w:w="7290" w:type="dxa"/>
          </w:tcPr>
          <w:p w14:paraId="3003A298" w14:textId="77777777" w:rsidR="00436D27" w:rsidRPr="00055B04" w:rsidRDefault="00436D27" w:rsidP="00B420A1">
            <w:pPr>
              <w:pStyle w:val="TAL"/>
              <w:rPr>
                <w:b/>
                <w:i/>
              </w:rPr>
            </w:pPr>
            <w:r w:rsidRPr="00055B04">
              <w:rPr>
                <w:b/>
                <w:i/>
              </w:rPr>
              <w:t>srb3</w:t>
            </w:r>
          </w:p>
          <w:p w14:paraId="16816E79" w14:textId="77777777" w:rsidR="00436D27" w:rsidRPr="00055B04" w:rsidDel="00414669" w:rsidRDefault="00436D27" w:rsidP="00B420A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</w:t>
            </w:r>
          </w:p>
        </w:tc>
        <w:tc>
          <w:tcPr>
            <w:tcW w:w="720" w:type="dxa"/>
          </w:tcPr>
          <w:p w14:paraId="7E77D5D8" w14:textId="77777777" w:rsidR="00436D27" w:rsidRPr="00055B04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653C105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6620B8E7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Yes</w:t>
            </w:r>
          </w:p>
        </w:tc>
      </w:tr>
      <w:tr w:rsidR="00436D27" w:rsidRPr="00346B7C" w14:paraId="5AD344E1" w14:textId="77777777" w:rsidTr="00B420A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66780" w14:textId="77777777" w:rsidR="00436D27" w:rsidRPr="00346B7C" w:rsidRDefault="00436D27" w:rsidP="00B420A1">
            <w:pPr>
              <w:pStyle w:val="TAL"/>
              <w:rPr>
                <w:b/>
                <w:i/>
              </w:rPr>
            </w:pPr>
            <w:r w:rsidRPr="00346B7C">
              <w:rPr>
                <w:b/>
                <w:i/>
              </w:rPr>
              <w:t>v2x-EUTRA</w:t>
            </w:r>
          </w:p>
          <w:p w14:paraId="32ED72F7" w14:textId="77777777" w:rsidR="00436D27" w:rsidRPr="00346B7C" w:rsidRDefault="00436D27" w:rsidP="00B420A1">
            <w:pPr>
              <w:pStyle w:val="TAL"/>
            </w:pPr>
            <w:r w:rsidRPr="00346B7C">
              <w:t xml:space="preserve">Indicates whether the UE supports EUTRA V2X according to </w:t>
            </w:r>
            <w:r w:rsidRPr="00346B7C">
              <w:rPr>
                <w:i/>
              </w:rPr>
              <w:t>UE-EUTRA-Capability</w:t>
            </w:r>
            <w:r w:rsidRPr="00346B7C">
              <w:t xml:space="preserve"> as defined in [x], independent of the configured EN-DC band combination.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6042EC" w14:textId="77777777" w:rsidR="00436D27" w:rsidRPr="00055B04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F445BB" w14:textId="77777777" w:rsidR="00436D27" w:rsidRPr="00346B7C" w:rsidDel="00BD7553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N</w:t>
            </w:r>
            <w:r w:rsidRPr="00346B7C">
              <w:rPr>
                <w:rFonts w:cs="Arial"/>
                <w:bCs/>
                <w:iCs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3E349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436D27" w:rsidRPr="00346B7C" w14:paraId="12D601C0" w14:textId="77777777" w:rsidTr="00B420A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06522A" w14:textId="77777777" w:rsidR="00436D27" w:rsidRPr="00055B04" w:rsidRDefault="00436D27" w:rsidP="00B420A1">
            <w:pPr>
              <w:pStyle w:val="TAL"/>
              <w:rPr>
                <w:b/>
                <w:i/>
              </w:rPr>
            </w:pPr>
            <w:proofErr w:type="spellStart"/>
            <w:r w:rsidRPr="00055B04">
              <w:rPr>
                <w:b/>
                <w:i/>
              </w:rPr>
              <w:t>voiceOverMCGBearer</w:t>
            </w:r>
            <w:proofErr w:type="spellEnd"/>
          </w:p>
          <w:p w14:paraId="6B8AFAB5" w14:textId="77777777" w:rsidR="00436D27" w:rsidRPr="00346B7C" w:rsidRDefault="00436D27" w:rsidP="00B420A1">
            <w:pPr>
              <w:pStyle w:val="TAL"/>
            </w:pPr>
            <w:r w:rsidRPr="00346B7C">
              <w:t>Indicates whether the UE supports IMS voice over NR PDCP for MCG bearer in NR. It is mandated to the IMS voice capable UE in NR otherwise optional.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0EFDC" w14:textId="77777777" w:rsidR="00436D27" w:rsidRPr="00055B04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BE995E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0EB22C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436D27" w:rsidRPr="00346B7C" w14:paraId="41C0FA1A" w14:textId="77777777" w:rsidTr="00B420A1">
        <w:trPr>
          <w:cantSplit/>
          <w:ins w:id="4" w:author="Ericsson" w:date="2018-09-26T18:42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DEC55" w14:textId="77777777" w:rsidR="00436D27" w:rsidRPr="00436D27" w:rsidRDefault="00436D27" w:rsidP="00B420A1">
            <w:pPr>
              <w:pStyle w:val="TAL"/>
              <w:rPr>
                <w:ins w:id="5" w:author="Ericsson" w:date="2018-09-26T18:42:00Z"/>
                <w:b/>
                <w:i/>
                <w:noProof/>
              </w:rPr>
            </w:pPr>
            <w:ins w:id="6" w:author="Ericsson" w:date="2018-09-26T18:42:00Z">
              <w:r w:rsidRPr="00436D27">
                <w:rPr>
                  <w:b/>
                  <w:i/>
                  <w:noProof/>
                </w:rPr>
                <w:t>as-ReflectiveQoS</w:t>
              </w:r>
            </w:ins>
          </w:p>
          <w:p w14:paraId="2C303A98" w14:textId="77777777" w:rsidR="00436D27" w:rsidRPr="00436D27" w:rsidRDefault="00436D27" w:rsidP="00B420A1">
            <w:pPr>
              <w:pStyle w:val="TAL"/>
              <w:rPr>
                <w:ins w:id="7" w:author="Ericsson" w:date="2018-09-26T18:42:00Z"/>
              </w:rPr>
            </w:pPr>
            <w:ins w:id="8" w:author="Ericsson" w:date="2018-09-26T18:43:00Z">
              <w:r>
                <w:t>Indicates whether the UE supports reflective QoS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449828" w14:textId="77777777" w:rsidR="00436D27" w:rsidRPr="00055B04" w:rsidRDefault="00436D27" w:rsidP="00B420A1">
            <w:pPr>
              <w:pStyle w:val="TAL"/>
              <w:jc w:val="center"/>
              <w:rPr>
                <w:ins w:id="9" w:author="Ericsson" w:date="2018-09-26T18:42:00Z"/>
                <w:rFonts w:cs="Arial"/>
                <w:bCs/>
                <w:iCs/>
                <w:szCs w:val="18"/>
              </w:rPr>
            </w:pPr>
            <w:ins w:id="10" w:author="Ericsson" w:date="2018-09-26T18:42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E268C" w14:textId="77777777" w:rsidR="00436D27" w:rsidRPr="00055B04" w:rsidRDefault="00436D27" w:rsidP="00B420A1">
            <w:pPr>
              <w:pStyle w:val="TAL"/>
              <w:jc w:val="center"/>
              <w:rPr>
                <w:ins w:id="11" w:author="Ericsson" w:date="2018-09-26T18:42:00Z"/>
                <w:rFonts w:cs="Arial"/>
                <w:bCs/>
                <w:iCs/>
                <w:szCs w:val="18"/>
              </w:rPr>
            </w:pPr>
            <w:ins w:id="12" w:author="Ericsson" w:date="2018-09-26T18:42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9B7E8" w14:textId="77777777" w:rsidR="00436D27" w:rsidRPr="00346B7C" w:rsidRDefault="00436D27" w:rsidP="00B420A1">
            <w:pPr>
              <w:pStyle w:val="TAL"/>
              <w:jc w:val="center"/>
              <w:rPr>
                <w:ins w:id="13" w:author="Ericsson" w:date="2018-09-26T18:42:00Z"/>
                <w:rFonts w:cs="Arial"/>
                <w:bCs/>
                <w:iCs/>
                <w:szCs w:val="18"/>
              </w:rPr>
            </w:pPr>
            <w:ins w:id="14" w:author="Ericsson" w:date="2018-09-26T18:42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</w:tbl>
    <w:p w14:paraId="2347817A" w14:textId="77777777" w:rsidR="00436D27" w:rsidRPr="00794EE3" w:rsidRDefault="00436D27" w:rsidP="00436D27">
      <w:pPr>
        <w:rPr>
          <w:lang w:val="en-US" w:eastAsia="ko-KR"/>
        </w:rPr>
      </w:pPr>
    </w:p>
    <w:p w14:paraId="093EEA7C" w14:textId="77777777" w:rsidR="00436D27" w:rsidRDefault="00436D27" w:rsidP="00436D27">
      <w:pPr>
        <w:rPr>
          <w:noProof/>
        </w:rPr>
      </w:pPr>
    </w:p>
    <w:p w14:paraId="4DB63D43" w14:textId="66968725" w:rsidR="00436D27" w:rsidRPr="00A52469" w:rsidRDefault="00436D27" w:rsidP="00436D2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45948836" w14:textId="77777777" w:rsidR="00A52469" w:rsidRDefault="00A52469" w:rsidP="00152F54">
      <w:pPr>
        <w:rPr>
          <w:noProof/>
        </w:rPr>
      </w:pPr>
    </w:p>
    <w:bookmarkEnd w:id="0"/>
    <w:bookmarkEnd w:id="1"/>
    <w:p w14:paraId="0911D3C0" w14:textId="1E5F9D27" w:rsidR="00E63F8B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 w:rsidR="00794EE3">
        <w:rPr>
          <w:rFonts w:ascii="Times New Roman" w:hAnsi="Times New Roman" w:cs="Times New Roman"/>
          <w:lang w:val="en-US"/>
        </w:rPr>
        <w:t xml:space="preserve"> </w:t>
      </w:r>
      <w:r w:rsidR="00436D27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2F2A238" w14:textId="08AD7FE8" w:rsidR="00A87EA1" w:rsidRDefault="00A87EA1" w:rsidP="00A87EA1">
      <w:pPr>
        <w:rPr>
          <w:lang w:val="en-US" w:eastAsia="ko-KR"/>
        </w:rPr>
      </w:pPr>
    </w:p>
    <w:p w14:paraId="0AAE187D" w14:textId="77777777" w:rsidR="00A87EA1" w:rsidRPr="00A87EA1" w:rsidRDefault="00A87EA1" w:rsidP="00A87EA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en-US"/>
        </w:rPr>
      </w:pPr>
      <w:bookmarkStart w:id="15" w:name="_Toc517229494"/>
      <w:bookmarkStart w:id="16" w:name="_Hlk525750822"/>
      <w:r w:rsidRPr="00A87EA1">
        <w:rPr>
          <w:rFonts w:ascii="Arial" w:eastAsia="Malgun Gothic" w:hAnsi="Arial"/>
          <w:sz w:val="28"/>
          <w:lang w:eastAsia="en-US"/>
        </w:rPr>
        <w:lastRenderedPageBreak/>
        <w:t>4.2.9</w:t>
      </w:r>
      <w:r w:rsidRPr="00A87EA1">
        <w:rPr>
          <w:rFonts w:ascii="Arial" w:eastAsia="Malgun Gothic" w:hAnsi="Arial"/>
          <w:sz w:val="28"/>
          <w:lang w:eastAsia="en-US"/>
        </w:rPr>
        <w:tab/>
      </w:r>
      <w:proofErr w:type="spellStart"/>
      <w:r w:rsidRPr="00A87EA1">
        <w:rPr>
          <w:rFonts w:ascii="Arial" w:eastAsia="Malgun Gothic" w:hAnsi="Arial"/>
          <w:i/>
          <w:sz w:val="28"/>
          <w:lang w:eastAsia="en-US"/>
        </w:rPr>
        <w:t>MeasAndMobParameters</w:t>
      </w:r>
      <w:bookmarkEnd w:id="15"/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567"/>
        <w:gridCol w:w="567"/>
        <w:gridCol w:w="709"/>
        <w:gridCol w:w="708"/>
      </w:tblGrid>
      <w:tr w:rsidR="00A87EA1" w:rsidRPr="00A87EA1" w14:paraId="03EDC07C" w14:textId="77777777" w:rsidTr="00B420A1">
        <w:trPr>
          <w:cantSplit/>
          <w:tblHeader/>
        </w:trPr>
        <w:tc>
          <w:tcPr>
            <w:tcW w:w="6975" w:type="dxa"/>
          </w:tcPr>
          <w:p w14:paraId="53EE3C2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lastRenderedPageBreak/>
              <w:t>Definitions for parameters</w:t>
            </w:r>
          </w:p>
        </w:tc>
        <w:tc>
          <w:tcPr>
            <w:tcW w:w="567" w:type="dxa"/>
          </w:tcPr>
          <w:p w14:paraId="7586FF6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t>Per</w:t>
            </w:r>
          </w:p>
        </w:tc>
        <w:tc>
          <w:tcPr>
            <w:tcW w:w="567" w:type="dxa"/>
          </w:tcPr>
          <w:p w14:paraId="5701250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09" w:type="dxa"/>
          </w:tcPr>
          <w:p w14:paraId="61F74FB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t>FDD-TDD diff</w:t>
            </w:r>
          </w:p>
        </w:tc>
        <w:tc>
          <w:tcPr>
            <w:tcW w:w="708" w:type="dxa"/>
          </w:tcPr>
          <w:p w14:paraId="67B92FA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/>
                <w:sz w:val="18"/>
                <w:szCs w:val="18"/>
              </w:rPr>
              <w:t>FR1</w:t>
            </w:r>
          </w:p>
          <w:p w14:paraId="46674C7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/>
                <w:sz w:val="18"/>
                <w:szCs w:val="18"/>
              </w:rPr>
              <w:t>FR2 diff</w:t>
            </w:r>
          </w:p>
        </w:tc>
      </w:tr>
      <w:tr w:rsidR="00A87EA1" w:rsidRPr="00A87EA1" w14:paraId="49D76E54" w14:textId="77777777" w:rsidTr="00B420A1">
        <w:trPr>
          <w:cantSplit/>
        </w:trPr>
        <w:tc>
          <w:tcPr>
            <w:tcW w:w="6975" w:type="dxa"/>
          </w:tcPr>
          <w:p w14:paraId="52FE188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-RS-RLM</w:t>
            </w:r>
          </w:p>
          <w:p w14:paraId="7900F2AC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>Indicates whether the UE can perform radio link monitoring procedure based on measurement of CSI-RS as specified in TS38.213 [11] and 38.133 [5]. This parameter needs FR1 and FR2 differentiation.</w:t>
            </w:r>
          </w:p>
        </w:tc>
        <w:tc>
          <w:tcPr>
            <w:tcW w:w="567" w:type="dxa"/>
          </w:tcPr>
          <w:p w14:paraId="346AB0B0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7C0921AE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055E16F0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05A2991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2545A878" w14:textId="77777777" w:rsidTr="00B420A1">
        <w:trPr>
          <w:cantSplit/>
        </w:trPr>
        <w:tc>
          <w:tcPr>
            <w:tcW w:w="6975" w:type="dxa"/>
          </w:tcPr>
          <w:p w14:paraId="68B0731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-RSRP-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AndRSRQ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MeasWithSSB</w:t>
            </w:r>
            <w:proofErr w:type="spellEnd"/>
          </w:p>
          <w:p w14:paraId="543C2CBE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>Indicates whether the UE can perform CSI-RSRP and CSI-RSRQ measurement as specified in TS38.215 [13], where CSI-RS resource is configured with an associated SS/PBCH. This parameter needs FR1 and FR2 differentiation.</w:t>
            </w:r>
          </w:p>
        </w:tc>
        <w:tc>
          <w:tcPr>
            <w:tcW w:w="567" w:type="dxa"/>
          </w:tcPr>
          <w:p w14:paraId="238D6ABD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034495DA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793580B8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497F95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75F1DDFF" w14:textId="77777777" w:rsidTr="00B420A1">
        <w:trPr>
          <w:cantSplit/>
        </w:trPr>
        <w:tc>
          <w:tcPr>
            <w:tcW w:w="6975" w:type="dxa"/>
          </w:tcPr>
          <w:p w14:paraId="7C5CD4F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-RSRP-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AndRSRQ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MeasWithoutSSB</w:t>
            </w:r>
            <w:proofErr w:type="spellEnd"/>
          </w:p>
          <w:p w14:paraId="1062EB9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>Indicates whether the UE can perform CSI-RSRP and CSI-RSRQ measurement as specified in TS38.215 [13], where CSI-RS resource is configured for a cell that transmits SS/PBCH block and without an associated SS/PBCH block. This parameter needs FR1 and FR2 differentiation.</w:t>
            </w:r>
          </w:p>
        </w:tc>
        <w:tc>
          <w:tcPr>
            <w:tcW w:w="567" w:type="dxa"/>
          </w:tcPr>
          <w:p w14:paraId="3DF59E7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2CCBFBB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53E4188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708D408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7877065B" w14:textId="77777777" w:rsidTr="00B420A1">
        <w:trPr>
          <w:cantSplit/>
        </w:trPr>
        <w:tc>
          <w:tcPr>
            <w:tcW w:w="6975" w:type="dxa"/>
          </w:tcPr>
          <w:p w14:paraId="5ADE872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-SINR-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</w:t>
            </w:r>
            <w:proofErr w:type="spellEnd"/>
          </w:p>
          <w:p w14:paraId="25F4E02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 xml:space="preserve">Indicates whether the UE can perform CSI-SINR measurements based on configured CSI-RS resources as specified in TS38.215 [13]. This parameter needs FR1 and FR2 differentiation. </w:t>
            </w:r>
          </w:p>
        </w:tc>
        <w:tc>
          <w:tcPr>
            <w:tcW w:w="567" w:type="dxa"/>
          </w:tcPr>
          <w:p w14:paraId="3E4910D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417D09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70A8F09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C22A74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301EB098" w14:textId="77777777" w:rsidTr="00B420A1">
        <w:trPr>
          <w:cantSplit/>
        </w:trPr>
        <w:tc>
          <w:tcPr>
            <w:tcW w:w="6975" w:type="dxa"/>
          </w:tcPr>
          <w:p w14:paraId="093BD58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eutra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-CGI-Reporting</w:t>
            </w:r>
          </w:p>
          <w:p w14:paraId="577BA1A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Defines whether the UE supports acquisition of relevant information from a neighbouring E-UTRA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3CF4E53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A0B857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470C0F6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34B8C9B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499A1B20" w14:textId="77777777" w:rsidTr="00B420A1">
        <w:trPr>
          <w:cantSplit/>
        </w:trPr>
        <w:tc>
          <w:tcPr>
            <w:tcW w:w="6975" w:type="dxa"/>
          </w:tcPr>
          <w:p w14:paraId="2469858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eventA-MeasAndReport</w:t>
            </w:r>
            <w:proofErr w:type="spellEnd"/>
          </w:p>
          <w:p w14:paraId="7F34120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Indicates whether the UE supports NR measurements and events A triggered reporting as specified in TS 38.331 [9]</w:t>
            </w:r>
          </w:p>
        </w:tc>
        <w:tc>
          <w:tcPr>
            <w:tcW w:w="567" w:type="dxa"/>
          </w:tcPr>
          <w:p w14:paraId="0BA4D17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4D0589B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688215F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61926E3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14973BB4" w14:textId="77777777" w:rsidTr="00B420A1">
        <w:trPr>
          <w:cantSplit/>
        </w:trPr>
        <w:tc>
          <w:tcPr>
            <w:tcW w:w="6975" w:type="dxa"/>
          </w:tcPr>
          <w:p w14:paraId="380F85D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eventB-MeasAndReport</w:t>
            </w:r>
            <w:proofErr w:type="spellEnd"/>
          </w:p>
          <w:p w14:paraId="468EACE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567" w:type="dxa"/>
          </w:tcPr>
          <w:p w14:paraId="6A8BCFF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0B528F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10F1727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9C0CD7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6CBEFEBC" w14:textId="77777777" w:rsidTr="00B420A1">
        <w:trPr>
          <w:cantSplit/>
        </w:trPr>
        <w:tc>
          <w:tcPr>
            <w:tcW w:w="6975" w:type="dxa"/>
          </w:tcPr>
          <w:p w14:paraId="08DA2A5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handover-</w:t>
            </w: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eLTE</w:t>
            </w:r>
            <w:proofErr w:type="spellEnd"/>
          </w:p>
          <w:p w14:paraId="3496AC5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HO to EUTRA connected to 5GC. It is mandated if the UE supports EUTRA connected to 5GC.</w:t>
            </w:r>
          </w:p>
        </w:tc>
        <w:tc>
          <w:tcPr>
            <w:tcW w:w="567" w:type="dxa"/>
          </w:tcPr>
          <w:p w14:paraId="135F291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44B7AE12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559DBF2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1FBB3A7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Yes</w:t>
            </w:r>
          </w:p>
        </w:tc>
      </w:tr>
      <w:tr w:rsidR="00A87EA1" w:rsidRPr="00A87EA1" w14:paraId="2FE2E813" w14:textId="77777777" w:rsidTr="00B420A1">
        <w:trPr>
          <w:cantSplit/>
        </w:trPr>
        <w:tc>
          <w:tcPr>
            <w:tcW w:w="6975" w:type="dxa"/>
          </w:tcPr>
          <w:p w14:paraId="763F56C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handoverFDD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-TDD</w:t>
            </w:r>
          </w:p>
          <w:p w14:paraId="76F0DA1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HO between FDD and TDD. It is mandated if the UE supports both FDD and TDD.</w:t>
            </w:r>
          </w:p>
        </w:tc>
        <w:tc>
          <w:tcPr>
            <w:tcW w:w="567" w:type="dxa"/>
          </w:tcPr>
          <w:p w14:paraId="10EBC7C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405BD6E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1E509CA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595D39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3177071B" w14:textId="77777777" w:rsidTr="00B420A1">
        <w:trPr>
          <w:cantSplit/>
        </w:trPr>
        <w:tc>
          <w:tcPr>
            <w:tcW w:w="6975" w:type="dxa"/>
          </w:tcPr>
          <w:p w14:paraId="2EEDFEC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handoverInterF</w:t>
            </w:r>
            <w:proofErr w:type="spellEnd"/>
          </w:p>
          <w:p w14:paraId="7B5455B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UE supports inter-frequency HO. </w:t>
            </w:r>
          </w:p>
        </w:tc>
        <w:tc>
          <w:tcPr>
            <w:tcW w:w="567" w:type="dxa"/>
          </w:tcPr>
          <w:p w14:paraId="6D69082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716A7C5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1D30C3B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72D005A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Yes</w:t>
            </w:r>
          </w:p>
        </w:tc>
      </w:tr>
      <w:tr w:rsidR="00A87EA1" w:rsidRPr="00A87EA1" w14:paraId="7FB0DFCE" w14:textId="77777777" w:rsidTr="00B420A1">
        <w:trPr>
          <w:cantSplit/>
        </w:trPr>
        <w:tc>
          <w:tcPr>
            <w:tcW w:w="6975" w:type="dxa"/>
          </w:tcPr>
          <w:p w14:paraId="3E586C7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handoverLTE</w:t>
            </w:r>
            <w:proofErr w:type="spellEnd"/>
          </w:p>
          <w:p w14:paraId="6145693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567" w:type="dxa"/>
          </w:tcPr>
          <w:p w14:paraId="3EE2635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0E09937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206BF38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686B83E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Yes</w:t>
            </w:r>
          </w:p>
        </w:tc>
      </w:tr>
      <w:tr w:rsidR="00A87EA1" w:rsidRPr="00A87EA1" w14:paraId="27C5D8C8" w14:textId="77777777" w:rsidTr="00B420A1">
        <w:trPr>
          <w:cantSplit/>
        </w:trPr>
        <w:tc>
          <w:tcPr>
            <w:tcW w:w="6975" w:type="dxa"/>
          </w:tcPr>
          <w:p w14:paraId="3F86D15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independentGapConfig</w:t>
            </w:r>
            <w:proofErr w:type="spellEnd"/>
          </w:p>
          <w:p w14:paraId="3219682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This field indicates whether the UE supports two independent measurement gap configurations for FR1 and FR2 specified in TS 38.133 [5].</w:t>
            </w:r>
          </w:p>
        </w:tc>
        <w:tc>
          <w:tcPr>
            <w:tcW w:w="567" w:type="dxa"/>
          </w:tcPr>
          <w:p w14:paraId="13BD2B1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5B2B989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3289439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56F2482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3850C08F" w14:textId="77777777" w:rsidTr="00B420A1">
        <w:trPr>
          <w:cantSplit/>
        </w:trPr>
        <w:tc>
          <w:tcPr>
            <w:tcW w:w="6975" w:type="dxa"/>
          </w:tcPr>
          <w:p w14:paraId="6C1A2C5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intraAndInterF-MeasAndReport</w:t>
            </w:r>
            <w:proofErr w:type="spellEnd"/>
          </w:p>
          <w:p w14:paraId="43252FC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 xml:space="preserve">Indicates whether the UE supports NR intra-frequency and inter-frequency measurements and at least periodical reporting.  </w:t>
            </w:r>
          </w:p>
        </w:tc>
        <w:tc>
          <w:tcPr>
            <w:tcW w:w="567" w:type="dxa"/>
          </w:tcPr>
          <w:p w14:paraId="04A7858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9BAF692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0492070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7125203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2061B98C" w14:textId="77777777" w:rsidTr="00B420A1">
        <w:trPr>
          <w:cantSplit/>
        </w:trPr>
        <w:tc>
          <w:tcPr>
            <w:tcW w:w="6975" w:type="dxa"/>
          </w:tcPr>
          <w:p w14:paraId="0CF7EFD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nr-CGI-Reporting</w:t>
            </w:r>
          </w:p>
          <w:p w14:paraId="1EB7CB7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0C046F7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134F1A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0727BA8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A2BE0F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5C1B15DF" w14:textId="77777777" w:rsidTr="00B420A1">
        <w:trPr>
          <w:cantSplit/>
        </w:trPr>
        <w:tc>
          <w:tcPr>
            <w:tcW w:w="6975" w:type="dxa"/>
          </w:tcPr>
          <w:p w14:paraId="6017FF9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simultaneousRxDataSSB-DiffNumerology</w:t>
            </w:r>
            <w:proofErr w:type="spellEnd"/>
          </w:p>
          <w:p w14:paraId="13B4DB2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UE supports concurrent intra-frequency measurement on serving cell or neighbouring cell and PDCCH or PDSCH reception from the serving cell with a different numerology. </w:t>
            </w:r>
          </w:p>
        </w:tc>
        <w:tc>
          <w:tcPr>
            <w:tcW w:w="567" w:type="dxa"/>
          </w:tcPr>
          <w:p w14:paraId="1C487A2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383F8B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18E9AC0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57791B5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39E5D403" w14:textId="77777777" w:rsidTr="00B420A1">
        <w:trPr>
          <w:cantSplit/>
        </w:trPr>
        <w:tc>
          <w:tcPr>
            <w:tcW w:w="6975" w:type="dxa"/>
          </w:tcPr>
          <w:p w14:paraId="1623057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sftd-MeasPSCell</w:t>
            </w:r>
            <w:proofErr w:type="spellEnd"/>
          </w:p>
          <w:p w14:paraId="5895B74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UE supports SFTD measurements between the </w:t>
            </w:r>
            <w:proofErr w:type="spellStart"/>
            <w:r w:rsidRPr="00A87EA1">
              <w:rPr>
                <w:rFonts w:ascii="Arial" w:eastAsia="Malgun Gothic" w:hAnsi="Arial"/>
                <w:sz w:val="18"/>
                <w:lang w:eastAsia="en-US"/>
              </w:rPr>
              <w:t>Pcell</w:t>
            </w:r>
            <w:proofErr w:type="spellEnd"/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 and a configured </w:t>
            </w:r>
            <w:proofErr w:type="spellStart"/>
            <w:r w:rsidRPr="00A87EA1">
              <w:rPr>
                <w:rFonts w:ascii="Arial" w:eastAsia="Malgun Gothic" w:hAnsi="Arial"/>
                <w:sz w:val="18"/>
                <w:lang w:eastAsia="en-US"/>
              </w:rPr>
              <w:t>PSCell</w:t>
            </w:r>
            <w:proofErr w:type="spellEnd"/>
            <w:r w:rsidRPr="00A87EA1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567" w:type="dxa"/>
          </w:tcPr>
          <w:p w14:paraId="02A584E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2E83E6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42AFB16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6935395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087EDEA1" w14:textId="77777777" w:rsidTr="00B420A1">
        <w:trPr>
          <w:cantSplit/>
        </w:trPr>
        <w:tc>
          <w:tcPr>
            <w:tcW w:w="6975" w:type="dxa"/>
          </w:tcPr>
          <w:p w14:paraId="4103584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sftd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MeasNR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-Cell</w:t>
            </w:r>
          </w:p>
          <w:p w14:paraId="385E3F76" w14:textId="77777777" w:rsidR="00A87EA1" w:rsidRPr="00A87EA1" w:rsidDel="006B1332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SFTD measurement between the </w:t>
            </w:r>
            <w:proofErr w:type="spellStart"/>
            <w:r w:rsidRPr="00A87EA1">
              <w:rPr>
                <w:rFonts w:ascii="Arial" w:eastAsia="Malgun Gothic" w:hAnsi="Arial"/>
                <w:sz w:val="18"/>
                <w:lang w:eastAsia="en-US"/>
              </w:rPr>
              <w:t>Pcell</w:t>
            </w:r>
            <w:proofErr w:type="spellEnd"/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 and the NR cells is supported by the UE which is capable of EN-DC when EN-DC is not configured.</w:t>
            </w:r>
          </w:p>
        </w:tc>
        <w:tc>
          <w:tcPr>
            <w:tcW w:w="567" w:type="dxa"/>
          </w:tcPr>
          <w:p w14:paraId="12B5570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51D8741E" w14:textId="77777777" w:rsidR="00A87EA1" w:rsidRPr="00A87EA1" w:rsidDel="00DA5514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77EB952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23C6462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36EFD7F2" w14:textId="77777777" w:rsidTr="00B420A1">
        <w:trPr>
          <w:cantSplit/>
        </w:trPr>
        <w:tc>
          <w:tcPr>
            <w:tcW w:w="6975" w:type="dxa"/>
          </w:tcPr>
          <w:p w14:paraId="062F756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ssb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-RLM</w:t>
            </w:r>
          </w:p>
          <w:p w14:paraId="65B7724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S PGothic" w:hAnsi="Arial"/>
                <w:sz w:val="18"/>
                <w:lang w:eastAsia="en-US"/>
              </w:rPr>
              <w:t>Indicates whether the UE can perform radio link monitoring procedure based on measurement of SS/PBCH block as specified in TS38.213 [11] and 38.133 [5].</w:t>
            </w:r>
          </w:p>
        </w:tc>
        <w:tc>
          <w:tcPr>
            <w:tcW w:w="567" w:type="dxa"/>
          </w:tcPr>
          <w:p w14:paraId="49A86F7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U</w:t>
            </w:r>
            <w:r w:rsidRPr="00A87EA1">
              <w:rPr>
                <w:rFonts w:ascii="Arial" w:eastAsia="Malgun Gothic" w:hAnsi="Arial"/>
                <w:sz w:val="18"/>
              </w:rPr>
              <w:t>E</w:t>
            </w:r>
          </w:p>
        </w:tc>
        <w:tc>
          <w:tcPr>
            <w:tcW w:w="567" w:type="dxa"/>
          </w:tcPr>
          <w:p w14:paraId="5DC9790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Y</w:t>
            </w:r>
            <w:r w:rsidRPr="00A87EA1">
              <w:rPr>
                <w:rFonts w:ascii="Arial" w:eastAsia="Malgun Gothic" w:hAnsi="Arial"/>
                <w:sz w:val="18"/>
              </w:rPr>
              <w:t>es</w:t>
            </w:r>
          </w:p>
        </w:tc>
        <w:tc>
          <w:tcPr>
            <w:tcW w:w="709" w:type="dxa"/>
          </w:tcPr>
          <w:p w14:paraId="1535F0D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N</w:t>
            </w:r>
            <w:r w:rsidRPr="00A87EA1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708" w:type="dxa"/>
          </w:tcPr>
          <w:p w14:paraId="5165516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 w:hint="eastAsia"/>
                <w:sz w:val="18"/>
              </w:rPr>
              <w:t>N</w:t>
            </w:r>
            <w:r w:rsidRPr="00A87EA1">
              <w:rPr>
                <w:rFonts w:ascii="Arial" w:eastAsia="MS Mincho" w:hAnsi="Arial"/>
                <w:sz w:val="18"/>
              </w:rPr>
              <w:t>o</w:t>
            </w:r>
          </w:p>
        </w:tc>
      </w:tr>
      <w:tr w:rsidR="00A87EA1" w:rsidRPr="00A87EA1" w14:paraId="644057F8" w14:textId="77777777" w:rsidTr="00B420A1">
        <w:trPr>
          <w:cantSplit/>
        </w:trPr>
        <w:tc>
          <w:tcPr>
            <w:tcW w:w="6975" w:type="dxa"/>
          </w:tcPr>
          <w:p w14:paraId="2A3C335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lastRenderedPageBreak/>
              <w:t>ssb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AndCSI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-RS-RLM</w:t>
            </w:r>
          </w:p>
          <w:p w14:paraId="628B1F1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S PGothic" w:hAnsi="Arial"/>
                <w:sz w:val="18"/>
                <w:lang w:eastAsia="en-US"/>
              </w:rPr>
              <w:t>Indicates whether the UE can perform radio link monitoring procedure based on measurement of SS/PBCH block and CSI-RS as specified in TS38.213 [11] and 38.133 [5].</w:t>
            </w:r>
          </w:p>
        </w:tc>
        <w:tc>
          <w:tcPr>
            <w:tcW w:w="567" w:type="dxa"/>
          </w:tcPr>
          <w:p w14:paraId="0E34D14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U</w:t>
            </w:r>
            <w:r w:rsidRPr="00A87EA1">
              <w:rPr>
                <w:rFonts w:ascii="Arial" w:eastAsia="Malgun Gothic" w:hAnsi="Arial"/>
                <w:sz w:val="18"/>
              </w:rPr>
              <w:t>E</w:t>
            </w:r>
          </w:p>
        </w:tc>
        <w:tc>
          <w:tcPr>
            <w:tcW w:w="567" w:type="dxa"/>
          </w:tcPr>
          <w:p w14:paraId="1B4D90C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hint="eastAsia"/>
                <w:sz w:val="18"/>
              </w:rPr>
              <w:t>T</w:t>
            </w:r>
            <w:r w:rsidRPr="00A87EA1">
              <w:rPr>
                <w:rFonts w:ascii="Arial" w:eastAsia="Malgun Gothic" w:hAnsi="Arial"/>
                <w:sz w:val="18"/>
              </w:rPr>
              <w:t>bd</w:t>
            </w:r>
            <w:proofErr w:type="spellEnd"/>
          </w:p>
        </w:tc>
        <w:tc>
          <w:tcPr>
            <w:tcW w:w="709" w:type="dxa"/>
          </w:tcPr>
          <w:p w14:paraId="09B7B8B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No</w:t>
            </w:r>
          </w:p>
        </w:tc>
        <w:tc>
          <w:tcPr>
            <w:tcW w:w="708" w:type="dxa"/>
          </w:tcPr>
          <w:p w14:paraId="68356A6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 w:hint="eastAsia"/>
                <w:sz w:val="18"/>
              </w:rPr>
              <w:t>N</w:t>
            </w:r>
            <w:r w:rsidRPr="00A87EA1">
              <w:rPr>
                <w:rFonts w:ascii="Arial" w:eastAsia="MS Mincho" w:hAnsi="Arial"/>
                <w:sz w:val="18"/>
              </w:rPr>
              <w:t>o</w:t>
            </w:r>
          </w:p>
        </w:tc>
      </w:tr>
      <w:tr w:rsidR="00A87EA1" w:rsidRPr="00A87EA1" w14:paraId="092D0F2C" w14:textId="77777777" w:rsidTr="00B420A1">
        <w:trPr>
          <w:cantSplit/>
        </w:trPr>
        <w:tc>
          <w:tcPr>
            <w:tcW w:w="6975" w:type="dxa"/>
          </w:tcPr>
          <w:p w14:paraId="137BC1C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ss-SINR-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</w:t>
            </w:r>
            <w:proofErr w:type="spellEnd"/>
          </w:p>
          <w:p w14:paraId="0DC5AC5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 xml:space="preserve">Indicates whether the UE can perform SS-SINR measurement as specified in TS38.215 [13]. This parameter needs FR1 and FR2 differentiation. </w:t>
            </w:r>
          </w:p>
        </w:tc>
        <w:tc>
          <w:tcPr>
            <w:tcW w:w="567" w:type="dxa"/>
          </w:tcPr>
          <w:p w14:paraId="737220A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7C5CBC8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0CBA6B7B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66BA03B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17E3EC9E" w14:textId="77777777" w:rsidTr="00B420A1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ABCB5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supportedGapPattern</w:t>
            </w:r>
            <w:proofErr w:type="spellEnd"/>
          </w:p>
          <w:p w14:paraId="79A4F04B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Indicates measurement gap pattern(s) optionally supported by the UE. The leading / leftmost bit (bit 0) corresponds to the gap pattern 2, the next bit corresponds to the gap pattern 3, as specified in TS 38.311 [9] and so on.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A35AB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C06DB" w14:textId="77777777" w:rsidR="00A87EA1" w:rsidRPr="00A87EA1" w:rsidDel="00B42847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FFDA5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94E0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3A440A68" w14:textId="77777777" w:rsidTr="00B420A1">
        <w:trPr>
          <w:cantSplit/>
          <w:ins w:id="17" w:author="Ericsson" w:date="2018-09-26T18:48:00Z"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740B65" w14:textId="590765F3" w:rsid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Ericsson" w:date="2018-09-26T18:49:00Z"/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ins w:id="19" w:author="Ericsson" w:date="2018-09-26T18:49:00Z">
              <w:r w:rsidRPr="00A87EA1"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  <w:lang w:eastAsia="en-US"/>
                </w:rPr>
                <w:t>periodic</w:t>
              </w:r>
            </w:ins>
            <w:ins w:id="20" w:author="Ericsson" w:date="2018-09-26T18:54:00Z">
              <w:r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  <w:lang w:eastAsia="en-US"/>
                </w:rPr>
                <w:t>EUTRA</w:t>
              </w:r>
            </w:ins>
            <w:ins w:id="21" w:author="Ericsson" w:date="2018-09-26T18:49:00Z">
              <w:r w:rsidRPr="00A87EA1"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  <w:lang w:eastAsia="en-US"/>
                </w:rPr>
                <w:t>-MeasAndReport</w:t>
              </w:r>
              <w:proofErr w:type="spellEnd"/>
            </w:ins>
          </w:p>
          <w:p w14:paraId="697AC7CF" w14:textId="7AAFD341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23" w:author="Ericsson" w:date="2018-09-26T18:49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Indicates whether the UE supports </w:t>
              </w:r>
            </w:ins>
            <w:ins w:id="24" w:author="Ericsson" w:date="2018-09-26T18:5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periodic </w:t>
              </w:r>
            </w:ins>
            <w:ins w:id="25" w:author="Ericsson" w:date="2018-09-26T18:54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EUTRA</w:t>
              </w:r>
            </w:ins>
            <w:ins w:id="26" w:author="Ericsson" w:date="2018-09-26T18:5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 measurement and reporting</w:t>
              </w:r>
            </w:ins>
            <w:ins w:id="27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. It is mandatory if the UE supports </w:t>
              </w:r>
            </w:ins>
            <w:ins w:id="28" w:author="Ericsson" w:date="2018-09-26T18:55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EUTRA</w:t>
              </w:r>
            </w:ins>
            <w:ins w:id="29" w:author="Ericsson" w:date="2018-09-26T18:53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,</w:t>
              </w:r>
            </w:ins>
            <w:ins w:id="30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 </w:t>
              </w:r>
            </w:ins>
            <w:ins w:id="31" w:author="Ericsson" w:date="2018-09-26T18:53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o</w:t>
              </w:r>
            </w:ins>
            <w:ins w:id="32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therwise optional.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504803" w14:textId="565418E1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34" w:author="Ericsson" w:date="2018-09-26T18:5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E75F92" w14:textId="7634BD8A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36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Yes/No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4A64FD" w14:textId="29A04C75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38" w:author="Ericsson" w:date="2018-09-26T18:51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112EF9" w14:textId="30A1DEEC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" w:author="Ericsson" w:date="2018-09-26T18:48:00Z"/>
                <w:rFonts w:ascii="Arial" w:eastAsia="MS Mincho" w:hAnsi="Arial" w:cs="Arial"/>
                <w:bCs/>
                <w:iCs/>
                <w:sz w:val="18"/>
                <w:szCs w:val="18"/>
              </w:rPr>
            </w:pPr>
            <w:ins w:id="40" w:author="Ericsson" w:date="2018-09-26T18:51:00Z">
              <w:r>
                <w:rPr>
                  <w:rFonts w:ascii="Arial" w:eastAsia="MS Mincho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</w:tr>
      <w:bookmarkEnd w:id="16"/>
    </w:tbl>
    <w:p w14:paraId="645BD712" w14:textId="697DF370" w:rsidR="00E35E33" w:rsidRDefault="00E35E33" w:rsidP="00152F54">
      <w:pPr>
        <w:rPr>
          <w:noProof/>
        </w:rPr>
      </w:pPr>
    </w:p>
    <w:p w14:paraId="1FF1039B" w14:textId="77777777" w:rsidR="00A87EA1" w:rsidRDefault="00A87EA1" w:rsidP="00152F54">
      <w:pPr>
        <w:rPr>
          <w:noProof/>
        </w:rPr>
      </w:pPr>
    </w:p>
    <w:p w14:paraId="1611FB7D" w14:textId="72FFD6D1" w:rsidR="00E63F8B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A87EA1">
        <w:rPr>
          <w:rFonts w:ascii="Times New Roman" w:hAnsi="Times New Roman" w:cs="Times New Roman"/>
          <w:lang w:val="en-US"/>
        </w:rPr>
        <w:t>SECOND</w:t>
      </w:r>
      <w:r w:rsidR="00794EE3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6E87D1E" w14:textId="790E4593" w:rsidR="00794EE3" w:rsidRDefault="00794EE3" w:rsidP="00794EE3">
      <w:pPr>
        <w:rPr>
          <w:lang w:val="en-US" w:eastAsia="ko-KR"/>
        </w:rPr>
      </w:pPr>
    </w:p>
    <w:sectPr w:rsidR="00794EE3" w:rsidSect="00E35E33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F6D44" w14:textId="77777777" w:rsidR="00952DD1" w:rsidRDefault="00952DD1">
      <w:pPr>
        <w:spacing w:after="0"/>
      </w:pPr>
      <w:r>
        <w:separator/>
      </w:r>
    </w:p>
  </w:endnote>
  <w:endnote w:type="continuationSeparator" w:id="0">
    <w:p w14:paraId="11793168" w14:textId="77777777" w:rsidR="00952DD1" w:rsidRDefault="00952D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54BAB" w14:textId="77777777" w:rsidR="00952DD1" w:rsidRDefault="00952DD1">
      <w:pPr>
        <w:spacing w:after="0"/>
      </w:pPr>
      <w:r>
        <w:separator/>
      </w:r>
    </w:p>
  </w:footnote>
  <w:footnote w:type="continuationSeparator" w:id="0">
    <w:p w14:paraId="71685560" w14:textId="77777777" w:rsidR="00952DD1" w:rsidRDefault="00952D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74D387E"/>
    <w:multiLevelType w:val="hybridMultilevel"/>
    <w:tmpl w:val="A47E20DC"/>
    <w:lvl w:ilvl="0" w:tplc="E6E21ED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B01365D"/>
    <w:multiLevelType w:val="hybridMultilevel"/>
    <w:tmpl w:val="64301ADA"/>
    <w:lvl w:ilvl="0" w:tplc="FF52A2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19"/>
  </w:num>
  <w:num w:numId="5">
    <w:abstractNumId w:val="76"/>
  </w:num>
  <w:num w:numId="6">
    <w:abstractNumId w:val="14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3"/>
  </w:num>
  <w:num w:numId="12">
    <w:abstractNumId w:val="26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7"/>
  </w:num>
  <w:num w:numId="45">
    <w:abstractNumId w:val="9"/>
  </w:num>
  <w:num w:numId="46">
    <w:abstractNumId w:val="93"/>
  </w:num>
  <w:num w:numId="47">
    <w:abstractNumId w:val="71"/>
  </w:num>
  <w:num w:numId="48">
    <w:abstractNumId w:val="29"/>
  </w:num>
  <w:num w:numId="49">
    <w:abstractNumId w:val="17"/>
  </w:num>
  <w:num w:numId="50">
    <w:abstractNumId w:val="12"/>
  </w:num>
  <w:num w:numId="51">
    <w:abstractNumId w:val="22"/>
  </w:num>
  <w:num w:numId="52">
    <w:abstractNumId w:val="75"/>
  </w:num>
  <w:num w:numId="53">
    <w:abstractNumId w:val="16"/>
  </w:num>
  <w:num w:numId="54">
    <w:abstractNumId w:val="72"/>
  </w:num>
  <w:num w:numId="55">
    <w:abstractNumId w:val="36"/>
  </w:num>
  <w:num w:numId="56">
    <w:abstractNumId w:val="28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2"/>
  </w:num>
  <w:num w:numId="73">
    <w:abstractNumId w:val="83"/>
  </w:num>
  <w:num w:numId="74">
    <w:abstractNumId w:val="11"/>
  </w:num>
  <w:num w:numId="75">
    <w:abstractNumId w:val="81"/>
  </w:num>
  <w:num w:numId="76">
    <w:abstractNumId w:val="32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8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1"/>
  </w:num>
  <w:num w:numId="111">
    <w:abstractNumId w:val="59"/>
  </w:num>
  <w:num w:numId="112">
    <w:abstractNumId w:val="20"/>
  </w:num>
  <w:num w:numId="113">
    <w:abstractNumId w:val="89"/>
  </w:num>
  <w:num w:numId="114">
    <w:abstractNumId w:val="27"/>
  </w:num>
  <w:num w:numId="115">
    <w:abstractNumId w:val="15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4E4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1E35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617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48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ADE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6A83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0FC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722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A70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D27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53B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226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B5D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431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4EE3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2DD1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0B9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550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55F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6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87EA1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CC0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2D1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079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2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3DC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5E33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3EB4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3F8B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90D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DFB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E63F8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RAN/TSG_RAN/TSGR_81/Docs/RP-18212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5NUHHDQN7SK2-1476151046-34959</_dlc_DocId>
    <_dlc_DocIdUrl xmlns="f166a696-7b5b-4ccd-9f0c-ffde0cceec81">
      <Url>https://ericsson.sharepoint.com/sites/star/_layouts/15/DocIdRedir.aspx?ID=5NUHHDQN7SK2-1476151046-34959</Url>
      <Description>5NUHHDQN7SK2-1476151046-34959</Description>
    </_dlc_DocIdUrl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2A0047E-C33B-4DC8-8F24-AC1937CC7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378124C-2B4E-4AD6-BFF6-0A9119CE1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5</Pages>
  <Words>1209</Words>
  <Characters>6894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63</cp:revision>
  <cp:lastPrinted>2017-05-08T10:55:00Z</cp:lastPrinted>
  <dcterms:created xsi:type="dcterms:W3CDTF">2018-09-18T07:18:00Z</dcterms:created>
  <dcterms:modified xsi:type="dcterms:W3CDTF">2018-11-01T20:32:00Z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30f3e298-fbc5-4f04-ae3c-8eab5fbbf295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